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>Algorytm postępowania</w:t>
      </w:r>
      <w:r w:rsidR="001C3CC7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bookmarkStart w:id="0" w:name="_Hlk39645010"/>
      <w:r w:rsidR="001C3CC7">
        <w:rPr>
          <w:b/>
          <w:bCs/>
          <w:sz w:val="28"/>
          <w:szCs w:val="28"/>
        </w:rPr>
        <w:t xml:space="preserve"> </w:t>
      </w:r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</w:p>
    <w:p w:rsidR="00C14245" w:rsidRDefault="00EE79D3" w:rsidP="00C14245">
      <w:bookmarkStart w:id="1" w:name="_Hlk39445123"/>
      <w:bookmarkStart w:id="2" w:name="_Hlk39646787"/>
      <w:bookmarkEnd w:id="0"/>
      <w:bookmarkEnd w:id="1"/>
      <w:bookmarkEnd w:id="2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8.9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sz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ia 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EE79D3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22.15pt;margin-top:22.8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EB28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EE79D3" w:rsidP="00C14245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57.55pt;margin-top:10.55pt;width:570.4pt;height:215.4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2705E0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niepokojących objawów 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się telefonicznie ze stacją sanitarno- epidemiologiczną, oddziałem zakaźnym, a w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po karetkę pogotowia lub pod nr 999/ 112/ i koniecznie </w:t>
                  </w:r>
                  <w:r w:rsidR="005D4D36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072806">
                    <w:rPr>
                      <w:color w:val="000000" w:themeColor="text1"/>
                      <w:sz w:val="20"/>
                      <w:szCs w:val="20"/>
                    </w:rPr>
                    <w:t>ormują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</w:t>
                  </w:r>
                  <w:r w:rsidR="00E9674A">
                    <w:rPr>
                      <w:color w:val="000000" w:themeColor="text1"/>
                      <w:sz w:val="20"/>
                      <w:szCs w:val="20"/>
                    </w:rPr>
                    <w:t>formowani są rodzice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EE79D3" w:rsidP="00CB654A">
      <w:pPr>
        <w:jc w:val="center"/>
      </w:pPr>
      <w:r>
        <w:rPr>
          <w:noProof/>
          <w:lang w:eastAsia="pl-PL"/>
        </w:rPr>
        <w:pict>
          <v:roundrect id="Prostokąt: zaokrąglone rogi 19" o:spid="_x0000_s1029" style="position:absolute;left:0;text-align:left;margin-left:43.25pt;margin-top:33.95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EE79D3" w:rsidP="00C14245">
      <w:pPr>
        <w:tabs>
          <w:tab w:val="center" w:pos="4536"/>
        </w:tabs>
      </w:pPr>
      <w:r>
        <w:rPr>
          <w:noProof/>
          <w:lang w:eastAsia="pl-PL"/>
        </w:rPr>
        <w:pict>
          <v:roundrect id="Prostokąt: zaokrąglone rogi 2" o:spid="_x0000_s1030" style="position:absolute;margin-left:-57.25pt;margin-top:20.75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EE79D3" w:rsidP="00C14245">
      <w:r>
        <w:rPr>
          <w:noProof/>
          <w:lang w:eastAsia="pl-PL"/>
        </w:rPr>
        <w:pict>
          <v:rect id="Prostokąt 11" o:spid="_x0000_s1031" style="position:absolute;margin-left:234.45pt;margin-top:9.1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 xml:space="preserve">Dyrektor dzwoni po karetkę pogotowia, opisuje sytuację (wyraźnie wskazuje, że objawy mogą świadczyć o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zakażeniukoronawirusem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" o:spid="_x0000_s1032" style="position:absolute;margin-left:-56.6pt;margin-top:10.0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EE79D3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8" o:spid="_x0000_s1033" style="position:absolute;margin-left:-56.05pt;margin-top:16.55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</w:t>
                  </w:r>
                  <w:r w:rsidR="00E9674A">
                    <w:rPr>
                      <w:color w:val="000000" w:themeColor="text1"/>
                      <w:sz w:val="20"/>
                      <w:szCs w:val="20"/>
                    </w:rPr>
                    <w:t>je ją w dokumentacji szkoły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EE79D3" w:rsidP="00C14245">
      <w:pPr>
        <w:jc w:val="center"/>
      </w:pPr>
      <w:r>
        <w:rPr>
          <w:noProof/>
          <w:lang w:eastAsia="pl-PL"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EE79D3" w:rsidP="00C14245">
      <w:pPr>
        <w:jc w:val="center"/>
      </w:pPr>
      <w:r>
        <w:rPr>
          <w:noProof/>
          <w:lang w:eastAsia="pl-PL"/>
        </w:rPr>
        <w:pict>
          <v:roundrect id="Prostokąt: zaokrąglone rogi 14" o:spid="_x0000_s1035" style="position:absolute;left:0;text-align:left;margin-left:0;margin-top:18.7pt;width:576.8pt;height:140.55pt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zdejmujemaseczkę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bookmarkStart w:id="5" w:name="_GoBack"/>
                  <w:bookmarkEnd w:id="5"/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3CC7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60694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9674A"/>
    <w:rsid w:val="00EB136C"/>
    <w:rsid w:val="00EB28F6"/>
    <w:rsid w:val="00EB694C"/>
    <w:rsid w:val="00ED418F"/>
    <w:rsid w:val="00ED652E"/>
    <w:rsid w:val="00EE79D3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Marta Marciniak</cp:lastModifiedBy>
  <cp:revision>17</cp:revision>
  <dcterms:created xsi:type="dcterms:W3CDTF">2020-05-04T07:15:00Z</dcterms:created>
  <dcterms:modified xsi:type="dcterms:W3CDTF">2021-09-04T09:22:00Z</dcterms:modified>
</cp:coreProperties>
</file>